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E17" w:rsidRDefault="00EB4B97">
      <w:pPr>
        <w:pStyle w:val="Title"/>
        <w:rPr>
          <w:rFonts w:ascii="Calibri" w:eastAsia="Calibri" w:hAnsi="Calibri" w:cs="Calibri"/>
          <w:sz w:val="24"/>
          <w:szCs w:val="24"/>
        </w:rPr>
      </w:pPr>
      <w:r>
        <w:rPr>
          <w:rFonts w:ascii="Calibri" w:eastAsia="Calibri" w:hAnsi="Calibri" w:cs="Calibri"/>
        </w:rPr>
        <w:t>California ECE Curriculum Alignment Project (CAP)</w:t>
      </w:r>
    </w:p>
    <w:p w:rsidR="009D1E17" w:rsidRDefault="00EB4B97">
      <w:pPr>
        <w:pStyle w:val="Heading1"/>
        <w:spacing w:before="0" w:after="0"/>
        <w:rPr>
          <w:i/>
          <w:sz w:val="24"/>
          <w:szCs w:val="24"/>
        </w:rPr>
      </w:pPr>
      <w:r>
        <w:t>Course Alignment Worksheet</w:t>
      </w:r>
    </w:p>
    <w:p w:rsidR="009D1E17" w:rsidRDefault="00EB4B97">
      <w:pPr>
        <w:pStyle w:val="Heading2"/>
        <w:spacing w:before="0"/>
        <w:jc w:val="center"/>
        <w:rPr>
          <w:b w:val="0"/>
          <w:i/>
          <w:sz w:val="24"/>
          <w:szCs w:val="24"/>
        </w:rPr>
      </w:pPr>
      <w:r>
        <w:t xml:space="preserve">Child Family and Community </w:t>
      </w:r>
      <w:r w:rsidR="00B5295B">
        <w:rPr>
          <w:b w:val="0"/>
          <w:sz w:val="20"/>
          <w:szCs w:val="20"/>
        </w:rPr>
        <w:t>(Revised August 2021)</w:t>
      </w:r>
    </w:p>
    <w:tbl>
      <w:tblPr>
        <w:tblStyle w:val="a"/>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7"/>
        <w:gridCol w:w="4523"/>
      </w:tblGrid>
      <w:tr w:rsidR="009D1E17">
        <w:trPr>
          <w:trHeight w:val="220"/>
        </w:trPr>
        <w:tc>
          <w:tcPr>
            <w:tcW w:w="10710" w:type="dxa"/>
            <w:gridSpan w:val="2"/>
            <w:shd w:val="clear" w:color="auto" w:fill="B2DE94"/>
          </w:tcPr>
          <w:p w:rsidR="009D1E17" w:rsidRDefault="00EB4B97">
            <w:pPr>
              <w:pStyle w:val="Heading3"/>
              <w:spacing w:before="0"/>
              <w:jc w:val="center"/>
              <w:rPr>
                <w:sz w:val="21"/>
                <w:szCs w:val="21"/>
              </w:rPr>
            </w:pPr>
            <w:bookmarkStart w:id="0" w:name="_t5atvhflw9od" w:colFirst="0" w:colLast="0"/>
            <w:bookmarkEnd w:id="0"/>
            <w:r>
              <w:t>Course Overview</w:t>
            </w:r>
          </w:p>
        </w:tc>
      </w:tr>
      <w:tr w:rsidR="009D1E17">
        <w:tc>
          <w:tcPr>
            <w:tcW w:w="6187" w:type="dxa"/>
          </w:tcPr>
          <w:p w:rsidR="009D1E17" w:rsidRDefault="00EB4B97">
            <w:pPr>
              <w:rPr>
                <w:b/>
                <w:sz w:val="21"/>
                <w:szCs w:val="21"/>
                <w:highlight w:val="white"/>
              </w:rPr>
            </w:pPr>
            <w:r>
              <w:rPr>
                <w:b/>
                <w:sz w:val="21"/>
                <w:szCs w:val="21"/>
                <w:highlight w:val="white"/>
              </w:rPr>
              <w:t xml:space="preserve"># of Units </w:t>
            </w:r>
          </w:p>
        </w:tc>
        <w:tc>
          <w:tcPr>
            <w:tcW w:w="4523" w:type="dxa"/>
          </w:tcPr>
          <w:p w:rsidR="009D1E17" w:rsidRDefault="00EB4B97">
            <w:pPr>
              <w:rPr>
                <w:b/>
                <w:sz w:val="21"/>
                <w:szCs w:val="21"/>
                <w:highlight w:val="white"/>
              </w:rPr>
            </w:pPr>
            <w:r>
              <w:rPr>
                <w:rFonts w:ascii="Arimo" w:eastAsia="Arimo" w:hAnsi="Arimo" w:cs="Arimo"/>
                <w:sz w:val="21"/>
                <w:szCs w:val="21"/>
                <w:highlight w:val="white"/>
              </w:rPr>
              <w:t>☐</w:t>
            </w:r>
            <w:r>
              <w:rPr>
                <w:sz w:val="21"/>
                <w:szCs w:val="21"/>
                <w:highlight w:val="white"/>
              </w:rPr>
              <w:t xml:space="preserve"> Lecture </w:t>
            </w:r>
            <w:proofErr w:type="gramStart"/>
            <w:r>
              <w:rPr>
                <w:sz w:val="21"/>
                <w:szCs w:val="21"/>
                <w:highlight w:val="white"/>
              </w:rPr>
              <w:t>Only  or</w:t>
            </w:r>
            <w:proofErr w:type="gramEnd"/>
            <w:r>
              <w:rPr>
                <w:sz w:val="21"/>
                <w:szCs w:val="21"/>
                <w:highlight w:val="white"/>
              </w:rPr>
              <w:t xml:space="preserve">  </w:t>
            </w:r>
            <w:r>
              <w:rPr>
                <w:rFonts w:ascii="Arimo" w:eastAsia="Arimo" w:hAnsi="Arimo" w:cs="Arimo"/>
                <w:sz w:val="21"/>
                <w:szCs w:val="21"/>
                <w:highlight w:val="white"/>
              </w:rPr>
              <w:t>☐</w:t>
            </w:r>
            <w:r>
              <w:rPr>
                <w:sz w:val="21"/>
                <w:szCs w:val="21"/>
                <w:highlight w:val="white"/>
              </w:rPr>
              <w:t xml:space="preserve"> Lecture/Lab</w:t>
            </w:r>
          </w:p>
        </w:tc>
      </w:tr>
      <w:tr w:rsidR="009D1E17">
        <w:tc>
          <w:tcPr>
            <w:tcW w:w="6187" w:type="dxa"/>
          </w:tcPr>
          <w:p w:rsidR="009D1E17" w:rsidRDefault="00EB4B97">
            <w:pPr>
              <w:rPr>
                <w:sz w:val="21"/>
                <w:szCs w:val="21"/>
                <w:highlight w:val="white"/>
              </w:rPr>
            </w:pPr>
            <w:r>
              <w:rPr>
                <w:b/>
                <w:sz w:val="21"/>
                <w:szCs w:val="21"/>
                <w:highlight w:val="white"/>
              </w:rPr>
              <w:t xml:space="preserve">Status </w:t>
            </w:r>
            <w:r>
              <w:rPr>
                <w:rFonts w:ascii="Arimo" w:eastAsia="Arimo" w:hAnsi="Arimo" w:cs="Arimo"/>
                <w:b/>
                <w:sz w:val="21"/>
                <w:szCs w:val="21"/>
                <w:highlight w:val="white"/>
              </w:rPr>
              <w:t>☐</w:t>
            </w:r>
            <w:r>
              <w:rPr>
                <w:b/>
                <w:sz w:val="21"/>
                <w:szCs w:val="21"/>
                <w:highlight w:val="white"/>
              </w:rPr>
              <w:t xml:space="preserve"> CAMPUS APPROVED -If so, when (year):</w:t>
            </w:r>
            <w:r>
              <w:rPr>
                <w:sz w:val="21"/>
                <w:szCs w:val="21"/>
                <w:highlight w:val="white"/>
              </w:rPr>
              <w:t xml:space="preserve"> </w:t>
            </w:r>
            <w:r>
              <w:rPr>
                <w:color w:val="808080"/>
              </w:rPr>
              <w:t xml:space="preserve">           </w:t>
            </w:r>
            <w:r>
              <w:rPr>
                <w:sz w:val="21"/>
                <w:szCs w:val="21"/>
                <w:highlight w:val="white"/>
              </w:rPr>
              <w:t xml:space="preserve">    </w:t>
            </w:r>
            <w:r>
              <w:rPr>
                <w:b/>
                <w:sz w:val="21"/>
                <w:szCs w:val="21"/>
                <w:highlight w:val="white"/>
              </w:rPr>
              <w:t xml:space="preserve"> </w:t>
            </w:r>
          </w:p>
        </w:tc>
        <w:tc>
          <w:tcPr>
            <w:tcW w:w="4523" w:type="dxa"/>
          </w:tcPr>
          <w:p w:rsidR="009D1E17" w:rsidRDefault="00EB4B97">
            <w:pPr>
              <w:rPr>
                <w:b/>
                <w:sz w:val="21"/>
                <w:szCs w:val="21"/>
                <w:highlight w:val="white"/>
              </w:rPr>
            </w:pPr>
            <w:r>
              <w:rPr>
                <w:rFonts w:ascii="Arimo" w:eastAsia="Arimo" w:hAnsi="Arimo" w:cs="Arimo"/>
                <w:b/>
                <w:sz w:val="21"/>
                <w:szCs w:val="21"/>
                <w:highlight w:val="white"/>
              </w:rPr>
              <w:t>☐</w:t>
            </w:r>
            <w:r>
              <w:rPr>
                <w:b/>
                <w:sz w:val="21"/>
                <w:szCs w:val="21"/>
                <w:highlight w:val="white"/>
              </w:rPr>
              <w:t xml:space="preserve"> PROPOSED</w:t>
            </w:r>
          </w:p>
        </w:tc>
      </w:tr>
      <w:tr w:rsidR="009D1E17">
        <w:tc>
          <w:tcPr>
            <w:tcW w:w="10710" w:type="dxa"/>
            <w:gridSpan w:val="2"/>
            <w:shd w:val="clear" w:color="auto" w:fill="B2DE94"/>
          </w:tcPr>
          <w:p w:rsidR="009D1E17" w:rsidRDefault="00EB4B97">
            <w:pPr>
              <w:pStyle w:val="Heading3"/>
              <w:jc w:val="center"/>
              <w:rPr>
                <w:sz w:val="21"/>
                <w:szCs w:val="21"/>
              </w:rPr>
            </w:pPr>
            <w:r>
              <w:t>Course Elements</w:t>
            </w:r>
          </w:p>
        </w:tc>
      </w:tr>
      <w:tr w:rsidR="009D1E17">
        <w:tc>
          <w:tcPr>
            <w:tcW w:w="6187" w:type="dxa"/>
            <w:shd w:val="clear" w:color="auto" w:fill="ECF2DF"/>
          </w:tcPr>
          <w:p w:rsidR="009D1E17" w:rsidRPr="00FD0613" w:rsidRDefault="00EB4B97">
            <w:pPr>
              <w:jc w:val="center"/>
              <w:rPr>
                <w:b/>
                <w:sz w:val="21"/>
                <w:szCs w:val="21"/>
              </w:rPr>
            </w:pPr>
            <w:r w:rsidRPr="00FD0613">
              <w:rPr>
                <w:b/>
                <w:sz w:val="21"/>
                <w:szCs w:val="21"/>
              </w:rPr>
              <w:t>CAP</w:t>
            </w:r>
            <w:r w:rsidRPr="00FD0613">
              <w:rPr>
                <w:sz w:val="21"/>
                <w:szCs w:val="21"/>
              </w:rPr>
              <w:t xml:space="preserve"> </w:t>
            </w:r>
            <w:r w:rsidR="00C06D86" w:rsidRPr="00FD0613">
              <w:rPr>
                <w:b/>
                <w:sz w:val="21"/>
                <w:szCs w:val="21"/>
              </w:rPr>
              <w:t>Information</w:t>
            </w:r>
          </w:p>
        </w:tc>
        <w:tc>
          <w:tcPr>
            <w:tcW w:w="4523" w:type="dxa"/>
            <w:shd w:val="clear" w:color="auto" w:fill="EBF1DD"/>
          </w:tcPr>
          <w:p w:rsidR="009D1E17" w:rsidRPr="00FD0613" w:rsidRDefault="00EB4B97">
            <w:pPr>
              <w:jc w:val="center"/>
              <w:rPr>
                <w:b/>
                <w:sz w:val="21"/>
                <w:szCs w:val="21"/>
              </w:rPr>
            </w:pPr>
            <w:r w:rsidRPr="00FD0613">
              <w:rPr>
                <w:b/>
                <w:sz w:val="21"/>
                <w:szCs w:val="21"/>
              </w:rPr>
              <w:t xml:space="preserve">Your </w:t>
            </w:r>
            <w:r w:rsidR="00C06D86" w:rsidRPr="00FD0613">
              <w:rPr>
                <w:b/>
                <w:sz w:val="21"/>
                <w:szCs w:val="21"/>
              </w:rPr>
              <w:t>Campus Course Information</w:t>
            </w:r>
            <w:r w:rsidR="00093620" w:rsidRPr="00FD0613">
              <w:rPr>
                <w:b/>
                <w:sz w:val="21"/>
                <w:szCs w:val="21"/>
              </w:rPr>
              <w:t>:</w:t>
            </w:r>
          </w:p>
        </w:tc>
      </w:tr>
      <w:tr w:rsidR="009D1E17">
        <w:tc>
          <w:tcPr>
            <w:tcW w:w="6187" w:type="dxa"/>
            <w:tcBorders>
              <w:bottom w:val="nil"/>
            </w:tcBorders>
            <w:shd w:val="clear" w:color="auto" w:fill="FFFFFF"/>
          </w:tcPr>
          <w:p w:rsidR="009D1E17" w:rsidRDefault="00EB4B97">
            <w:pPr>
              <w:rPr>
                <w:sz w:val="21"/>
                <w:szCs w:val="21"/>
              </w:rPr>
            </w:pPr>
            <w:r>
              <w:rPr>
                <w:b/>
                <w:sz w:val="21"/>
                <w:szCs w:val="21"/>
              </w:rPr>
              <w:t>CAP Course Title:</w:t>
            </w:r>
          </w:p>
        </w:tc>
        <w:tc>
          <w:tcPr>
            <w:tcW w:w="4523" w:type="dxa"/>
            <w:tcBorders>
              <w:bottom w:val="nil"/>
            </w:tcBorders>
            <w:shd w:val="clear" w:color="auto" w:fill="FFFFFF"/>
          </w:tcPr>
          <w:p w:rsidR="009D1E17" w:rsidRDefault="00EB4B97">
            <w:pPr>
              <w:rPr>
                <w:sz w:val="21"/>
                <w:szCs w:val="21"/>
              </w:rPr>
            </w:pPr>
            <w:r>
              <w:rPr>
                <w:b/>
                <w:sz w:val="21"/>
                <w:szCs w:val="21"/>
              </w:rPr>
              <w:t>Your Course ID and Title:</w:t>
            </w:r>
          </w:p>
        </w:tc>
      </w:tr>
      <w:tr w:rsidR="009D1E17">
        <w:tc>
          <w:tcPr>
            <w:tcW w:w="6187" w:type="dxa"/>
            <w:tcBorders>
              <w:top w:val="nil"/>
            </w:tcBorders>
          </w:tcPr>
          <w:p w:rsidR="009D1E17" w:rsidRDefault="00EB4B97">
            <w:pPr>
              <w:rPr>
                <w:b/>
                <w:sz w:val="21"/>
                <w:szCs w:val="21"/>
              </w:rPr>
            </w:pPr>
            <w:r>
              <w:rPr>
                <w:b/>
                <w:sz w:val="21"/>
                <w:szCs w:val="21"/>
              </w:rPr>
              <w:t>Child Family and Community</w:t>
            </w:r>
          </w:p>
        </w:tc>
        <w:tc>
          <w:tcPr>
            <w:tcW w:w="4523" w:type="dxa"/>
            <w:tcBorders>
              <w:top w:val="nil"/>
            </w:tcBorders>
          </w:tcPr>
          <w:p w:rsidR="009D1E17" w:rsidRDefault="009D1E17">
            <w:pPr>
              <w:rPr>
                <w:sz w:val="21"/>
                <w:szCs w:val="21"/>
              </w:rPr>
            </w:pPr>
          </w:p>
        </w:tc>
      </w:tr>
      <w:tr w:rsidR="009D1E17">
        <w:tc>
          <w:tcPr>
            <w:tcW w:w="6187" w:type="dxa"/>
            <w:shd w:val="clear" w:color="auto" w:fill="EBF1DD"/>
          </w:tcPr>
          <w:p w:rsidR="009D1E17" w:rsidRDefault="00EB4B97">
            <w:pPr>
              <w:rPr>
                <w:sz w:val="21"/>
                <w:szCs w:val="21"/>
              </w:rPr>
            </w:pPr>
            <w:r>
              <w:rPr>
                <w:b/>
                <w:sz w:val="21"/>
                <w:szCs w:val="21"/>
              </w:rPr>
              <w:t>CAP Course Description:</w:t>
            </w:r>
          </w:p>
        </w:tc>
        <w:tc>
          <w:tcPr>
            <w:tcW w:w="4523" w:type="dxa"/>
            <w:shd w:val="clear" w:color="auto" w:fill="EBF1DD"/>
          </w:tcPr>
          <w:p w:rsidR="009D1E17" w:rsidRDefault="00EB4B97">
            <w:pPr>
              <w:rPr>
                <w:sz w:val="21"/>
                <w:szCs w:val="21"/>
              </w:rPr>
            </w:pPr>
            <w:r>
              <w:rPr>
                <w:b/>
                <w:sz w:val="21"/>
                <w:szCs w:val="21"/>
              </w:rPr>
              <w:t>Your Course Description:</w:t>
            </w:r>
          </w:p>
        </w:tc>
      </w:tr>
      <w:tr w:rsidR="009D1E17">
        <w:tc>
          <w:tcPr>
            <w:tcW w:w="6187" w:type="dxa"/>
          </w:tcPr>
          <w:p w:rsidR="009D1E17" w:rsidRDefault="00EB4B97">
            <w:pPr>
              <w:rPr>
                <w:sz w:val="21"/>
                <w:szCs w:val="21"/>
              </w:rPr>
            </w:pPr>
            <w:r>
              <w:rPr>
                <w:sz w:val="21"/>
                <w:szCs w:val="21"/>
              </w:rPr>
              <w:t>The processes of socialization focusing on the interrelationship of family, school, and community. Examines the influence of multiple societal contexts. Explores the role of collaboration between family, community, and schools in supporting children’s development, birth through adolescence.</w:t>
            </w:r>
          </w:p>
        </w:tc>
        <w:tc>
          <w:tcPr>
            <w:tcW w:w="4523" w:type="dxa"/>
          </w:tcPr>
          <w:p w:rsidR="009D1E17" w:rsidRDefault="009D1E17">
            <w:pPr>
              <w:tabs>
                <w:tab w:val="left" w:pos="360"/>
                <w:tab w:val="left" w:pos="720"/>
                <w:tab w:val="left" w:pos="2700"/>
                <w:tab w:val="left" w:pos="4680"/>
                <w:tab w:val="left" w:pos="8640"/>
              </w:tabs>
              <w:rPr>
                <w:sz w:val="21"/>
                <w:szCs w:val="21"/>
              </w:rPr>
            </w:pPr>
          </w:p>
        </w:tc>
      </w:tr>
      <w:tr w:rsidR="009D1E17">
        <w:tc>
          <w:tcPr>
            <w:tcW w:w="6187" w:type="dxa"/>
            <w:shd w:val="clear" w:color="auto" w:fill="EBF1DD"/>
          </w:tcPr>
          <w:p w:rsidR="009D1E17" w:rsidRDefault="00EB4B97">
            <w:pPr>
              <w:keepNext/>
              <w:rPr>
                <w:b/>
                <w:sz w:val="21"/>
                <w:szCs w:val="21"/>
              </w:rPr>
            </w:pPr>
            <w:r>
              <w:rPr>
                <w:b/>
                <w:sz w:val="21"/>
                <w:szCs w:val="21"/>
              </w:rPr>
              <w:t>CAP Objectives:</w:t>
            </w:r>
          </w:p>
        </w:tc>
        <w:tc>
          <w:tcPr>
            <w:tcW w:w="4523" w:type="dxa"/>
            <w:shd w:val="clear" w:color="auto" w:fill="EBF1DD"/>
          </w:tcPr>
          <w:p w:rsidR="009D1E17" w:rsidRDefault="00EB4B97">
            <w:pPr>
              <w:keepNext/>
              <w:rPr>
                <w:b/>
                <w:sz w:val="21"/>
                <w:szCs w:val="21"/>
              </w:rPr>
            </w:pPr>
            <w:r>
              <w:rPr>
                <w:b/>
                <w:sz w:val="21"/>
                <w:szCs w:val="21"/>
              </w:rPr>
              <w:t>Your Objectives:</w:t>
            </w:r>
          </w:p>
        </w:tc>
      </w:tr>
      <w:tr w:rsidR="009D1E17">
        <w:tc>
          <w:tcPr>
            <w:tcW w:w="6187" w:type="dxa"/>
          </w:tcPr>
          <w:p w:rsidR="009D1E17" w:rsidRDefault="00EB4B97">
            <w:pPr>
              <w:numPr>
                <w:ilvl w:val="0"/>
                <w:numId w:val="2"/>
              </w:numPr>
              <w:rPr>
                <w:sz w:val="21"/>
                <w:szCs w:val="21"/>
              </w:rPr>
            </w:pPr>
            <w:r>
              <w:rPr>
                <w:sz w:val="21"/>
                <w:szCs w:val="21"/>
              </w:rPr>
              <w:t>Compare historical and current theoretical frameworks of socialization.</w:t>
            </w:r>
          </w:p>
        </w:tc>
        <w:tc>
          <w:tcPr>
            <w:tcW w:w="4523" w:type="dxa"/>
          </w:tcPr>
          <w:p w:rsidR="009D1E17" w:rsidRDefault="009D1E17">
            <w:pPr>
              <w:pBdr>
                <w:top w:val="nil"/>
                <w:left w:val="nil"/>
                <w:bottom w:val="nil"/>
                <w:right w:val="nil"/>
                <w:between w:val="nil"/>
              </w:pBdr>
              <w:tabs>
                <w:tab w:val="left" w:pos="540"/>
                <w:tab w:val="left" w:pos="5040"/>
                <w:tab w:val="left" w:pos="8640"/>
              </w:tabs>
              <w:rPr>
                <w:sz w:val="21"/>
                <w:szCs w:val="21"/>
              </w:rPr>
            </w:pPr>
          </w:p>
        </w:tc>
      </w:tr>
      <w:tr w:rsidR="009D1E17">
        <w:tc>
          <w:tcPr>
            <w:tcW w:w="6187" w:type="dxa"/>
          </w:tcPr>
          <w:p w:rsidR="009D1E17" w:rsidRDefault="00EB4B97">
            <w:pPr>
              <w:numPr>
                <w:ilvl w:val="0"/>
                <w:numId w:val="2"/>
              </w:numPr>
              <w:rPr>
                <w:sz w:val="21"/>
                <w:szCs w:val="21"/>
              </w:rPr>
            </w:pPr>
            <w:r>
              <w:rPr>
                <w:sz w:val="21"/>
                <w:szCs w:val="21"/>
              </w:rPr>
              <w:t>Identify how the child develops within a system and is influenced by multiple factors of socialization including the educational, political, and socioeconomic impacts on children and families.</w:t>
            </w:r>
          </w:p>
        </w:tc>
        <w:tc>
          <w:tcPr>
            <w:tcW w:w="4523" w:type="dxa"/>
          </w:tcPr>
          <w:p w:rsidR="009D1E17" w:rsidRDefault="009D1E17">
            <w:pPr>
              <w:rPr>
                <w:sz w:val="21"/>
                <w:szCs w:val="21"/>
              </w:rPr>
            </w:pPr>
          </w:p>
        </w:tc>
      </w:tr>
      <w:tr w:rsidR="009D1E17">
        <w:tc>
          <w:tcPr>
            <w:tcW w:w="6187" w:type="dxa"/>
          </w:tcPr>
          <w:p w:rsidR="009D1E17" w:rsidRDefault="00EB4B97">
            <w:pPr>
              <w:numPr>
                <w:ilvl w:val="0"/>
                <w:numId w:val="2"/>
              </w:numPr>
              <w:rPr>
                <w:sz w:val="21"/>
                <w:szCs w:val="21"/>
              </w:rPr>
            </w:pPr>
            <w:r>
              <w:rPr>
                <w:sz w:val="21"/>
                <w:szCs w:val="21"/>
              </w:rPr>
              <w:t>Compare and contrast diverse family characteristics and perspectives of children and families.</w:t>
            </w:r>
          </w:p>
        </w:tc>
        <w:tc>
          <w:tcPr>
            <w:tcW w:w="4523" w:type="dxa"/>
          </w:tcPr>
          <w:p w:rsidR="009D1E17" w:rsidRDefault="009D1E17">
            <w:pPr>
              <w:pBdr>
                <w:top w:val="nil"/>
                <w:left w:val="nil"/>
                <w:bottom w:val="nil"/>
                <w:right w:val="nil"/>
                <w:between w:val="nil"/>
              </w:pBdr>
              <w:tabs>
                <w:tab w:val="left" w:pos="540"/>
                <w:tab w:val="left" w:pos="5040"/>
                <w:tab w:val="left" w:pos="8640"/>
              </w:tabs>
              <w:rPr>
                <w:sz w:val="21"/>
                <w:szCs w:val="21"/>
              </w:rPr>
            </w:pPr>
          </w:p>
        </w:tc>
      </w:tr>
      <w:tr w:rsidR="009D1E17">
        <w:tc>
          <w:tcPr>
            <w:tcW w:w="6187" w:type="dxa"/>
          </w:tcPr>
          <w:p w:rsidR="009D1E17" w:rsidRDefault="00EB4B97">
            <w:pPr>
              <w:numPr>
                <w:ilvl w:val="0"/>
                <w:numId w:val="2"/>
              </w:numPr>
              <w:rPr>
                <w:sz w:val="21"/>
                <w:szCs w:val="21"/>
              </w:rPr>
            </w:pPr>
            <w:r>
              <w:rPr>
                <w:sz w:val="21"/>
                <w:szCs w:val="21"/>
              </w:rPr>
              <w:t>Evaluate the impact of one’s own experiences on their relationships with children, families, and the community.</w:t>
            </w:r>
          </w:p>
        </w:tc>
        <w:tc>
          <w:tcPr>
            <w:tcW w:w="4523" w:type="dxa"/>
          </w:tcPr>
          <w:p w:rsidR="009D1E17" w:rsidRDefault="009D1E17">
            <w:pPr>
              <w:rPr>
                <w:sz w:val="21"/>
                <w:szCs w:val="21"/>
              </w:rPr>
            </w:pPr>
          </w:p>
        </w:tc>
      </w:tr>
      <w:tr w:rsidR="009D1E17">
        <w:tc>
          <w:tcPr>
            <w:tcW w:w="6187" w:type="dxa"/>
          </w:tcPr>
          <w:p w:rsidR="009D1E17" w:rsidRDefault="00EB4B97">
            <w:pPr>
              <w:numPr>
                <w:ilvl w:val="0"/>
                <w:numId w:val="2"/>
              </w:numPr>
              <w:rPr>
                <w:sz w:val="21"/>
                <w:szCs w:val="21"/>
              </w:rPr>
            </w:pPr>
            <w:r>
              <w:rPr>
                <w:sz w:val="21"/>
                <w:szCs w:val="21"/>
              </w:rPr>
              <w:t>Describe the legal requirements and ethical responsibilities of professionals working with all children and families.</w:t>
            </w:r>
          </w:p>
        </w:tc>
        <w:tc>
          <w:tcPr>
            <w:tcW w:w="4523" w:type="dxa"/>
          </w:tcPr>
          <w:p w:rsidR="009D1E17" w:rsidRDefault="009D1E17">
            <w:pPr>
              <w:pBdr>
                <w:top w:val="nil"/>
                <w:left w:val="nil"/>
                <w:bottom w:val="nil"/>
                <w:right w:val="nil"/>
                <w:between w:val="nil"/>
              </w:pBdr>
              <w:tabs>
                <w:tab w:val="left" w:pos="540"/>
                <w:tab w:val="left" w:pos="5040"/>
                <w:tab w:val="left" w:pos="8640"/>
              </w:tabs>
              <w:rPr>
                <w:sz w:val="21"/>
                <w:szCs w:val="21"/>
              </w:rPr>
            </w:pPr>
          </w:p>
        </w:tc>
      </w:tr>
      <w:tr w:rsidR="009D1E17">
        <w:tc>
          <w:tcPr>
            <w:tcW w:w="6187" w:type="dxa"/>
          </w:tcPr>
          <w:p w:rsidR="009D1E17" w:rsidRDefault="00EB4B97">
            <w:pPr>
              <w:numPr>
                <w:ilvl w:val="0"/>
                <w:numId w:val="2"/>
              </w:numPr>
              <w:pBdr>
                <w:top w:val="nil"/>
                <w:left w:val="nil"/>
                <w:bottom w:val="nil"/>
                <w:right w:val="nil"/>
                <w:between w:val="nil"/>
              </w:pBdr>
              <w:rPr>
                <w:color w:val="000000"/>
                <w:sz w:val="21"/>
                <w:szCs w:val="21"/>
              </w:rPr>
            </w:pPr>
            <w:r>
              <w:t>Compare and contrast educational systems and practices, including strategies for family engagement and building partnerships between early learning settings, schools, and community organizations and agencies</w:t>
            </w:r>
            <w:r>
              <w:rPr>
                <w:sz w:val="22"/>
                <w:szCs w:val="22"/>
              </w:rPr>
              <w:t>.</w:t>
            </w:r>
          </w:p>
        </w:tc>
        <w:tc>
          <w:tcPr>
            <w:tcW w:w="4523" w:type="dxa"/>
          </w:tcPr>
          <w:p w:rsidR="009D1E17" w:rsidRDefault="009D1E17">
            <w:pPr>
              <w:rPr>
                <w:sz w:val="21"/>
                <w:szCs w:val="21"/>
              </w:rPr>
            </w:pPr>
          </w:p>
        </w:tc>
      </w:tr>
      <w:tr w:rsidR="009D1E17">
        <w:tc>
          <w:tcPr>
            <w:tcW w:w="6187" w:type="dxa"/>
          </w:tcPr>
          <w:p w:rsidR="009D1E17" w:rsidRDefault="00EB4B97">
            <w:pPr>
              <w:numPr>
                <w:ilvl w:val="0"/>
                <w:numId w:val="2"/>
              </w:numPr>
              <w:rPr>
                <w:sz w:val="21"/>
                <w:szCs w:val="21"/>
              </w:rPr>
            </w:pPr>
            <w:r>
              <w:rPr>
                <w:sz w:val="21"/>
                <w:szCs w:val="21"/>
              </w:rPr>
              <w:t>Describe contemporary social issues and their effects on families and children.</w:t>
            </w:r>
          </w:p>
        </w:tc>
        <w:tc>
          <w:tcPr>
            <w:tcW w:w="4523" w:type="dxa"/>
          </w:tcPr>
          <w:p w:rsidR="009D1E17" w:rsidRDefault="009D1E17">
            <w:pPr>
              <w:rPr>
                <w:sz w:val="21"/>
                <w:szCs w:val="21"/>
              </w:rPr>
            </w:pPr>
          </w:p>
        </w:tc>
      </w:tr>
      <w:tr w:rsidR="009D1E17">
        <w:tc>
          <w:tcPr>
            <w:tcW w:w="6187" w:type="dxa"/>
          </w:tcPr>
          <w:p w:rsidR="009D1E17" w:rsidRDefault="00EB4B97">
            <w:pPr>
              <w:numPr>
                <w:ilvl w:val="0"/>
                <w:numId w:val="2"/>
              </w:numPr>
            </w:pPr>
            <w:r>
              <w:t xml:space="preserve">Identify community resources to support young children’s learning and development and to support families’ needs. </w:t>
            </w:r>
          </w:p>
        </w:tc>
        <w:tc>
          <w:tcPr>
            <w:tcW w:w="4523" w:type="dxa"/>
          </w:tcPr>
          <w:p w:rsidR="009D1E17" w:rsidRDefault="009D1E17">
            <w:pPr>
              <w:rPr>
                <w:sz w:val="21"/>
                <w:szCs w:val="21"/>
              </w:rPr>
            </w:pPr>
          </w:p>
        </w:tc>
      </w:tr>
      <w:tr w:rsidR="009D1E17">
        <w:tc>
          <w:tcPr>
            <w:tcW w:w="6187" w:type="dxa"/>
            <w:shd w:val="clear" w:color="auto" w:fill="EBF1DD"/>
            <w:vAlign w:val="center"/>
          </w:tcPr>
          <w:p w:rsidR="009D1E17" w:rsidRPr="00FD0613" w:rsidRDefault="00EB4B97">
            <w:pPr>
              <w:rPr>
                <w:b/>
                <w:sz w:val="21"/>
                <w:szCs w:val="21"/>
              </w:rPr>
            </w:pPr>
            <w:r w:rsidRPr="00FD0613">
              <w:rPr>
                <w:b/>
                <w:sz w:val="21"/>
                <w:szCs w:val="21"/>
              </w:rPr>
              <w:t>CAP Course Content and Topics:</w:t>
            </w:r>
          </w:p>
        </w:tc>
        <w:tc>
          <w:tcPr>
            <w:tcW w:w="4523" w:type="dxa"/>
            <w:shd w:val="clear" w:color="auto" w:fill="EBF1DD"/>
          </w:tcPr>
          <w:p w:rsidR="009D1E17" w:rsidRPr="00FD0613" w:rsidRDefault="00EB4B97">
            <w:pPr>
              <w:rPr>
                <w:b/>
                <w:sz w:val="21"/>
                <w:szCs w:val="21"/>
              </w:rPr>
            </w:pPr>
            <w:r w:rsidRPr="00FD0613">
              <w:rPr>
                <w:b/>
                <w:sz w:val="21"/>
                <w:szCs w:val="21"/>
              </w:rPr>
              <w:t>Your Course Content</w:t>
            </w:r>
            <w:r w:rsidR="00C06D86" w:rsidRPr="00FD0613">
              <w:rPr>
                <w:b/>
                <w:sz w:val="21"/>
                <w:szCs w:val="21"/>
              </w:rPr>
              <w:t xml:space="preserve"> and </w:t>
            </w:r>
            <w:r w:rsidRPr="00FD0613">
              <w:rPr>
                <w:b/>
                <w:sz w:val="21"/>
                <w:szCs w:val="21"/>
              </w:rPr>
              <w:t>Topics</w:t>
            </w: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E17" w:rsidRPr="00FD0613" w:rsidRDefault="00EB4B97">
            <w:pPr>
              <w:numPr>
                <w:ilvl w:val="0"/>
                <w:numId w:val="3"/>
              </w:numPr>
              <w:pBdr>
                <w:top w:val="nil"/>
                <w:left w:val="nil"/>
                <w:bottom w:val="nil"/>
                <w:right w:val="nil"/>
                <w:between w:val="nil"/>
              </w:pBdr>
              <w:rPr>
                <w:sz w:val="21"/>
                <w:szCs w:val="21"/>
              </w:rPr>
            </w:pPr>
            <w:r w:rsidRPr="00FD0613">
              <w:rPr>
                <w:sz w:val="22"/>
                <w:szCs w:val="22"/>
              </w:rPr>
              <w:t>Theoretical frameworks of socialization</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Pr="00FD0613" w:rsidRDefault="009D1E17">
            <w:pPr>
              <w:rPr>
                <w:sz w:val="21"/>
                <w:szCs w:val="21"/>
              </w:rPr>
            </w:pPr>
            <w:bookmarkStart w:id="1" w:name="_GoBack"/>
            <w:bookmarkEnd w:id="1"/>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E17" w:rsidRDefault="00EB4B97">
            <w:pPr>
              <w:numPr>
                <w:ilvl w:val="0"/>
                <w:numId w:val="3"/>
              </w:numPr>
              <w:pBdr>
                <w:top w:val="nil"/>
                <w:left w:val="nil"/>
                <w:bottom w:val="nil"/>
                <w:right w:val="nil"/>
                <w:between w:val="nil"/>
              </w:pBdr>
              <w:rPr>
                <w:sz w:val="21"/>
                <w:szCs w:val="21"/>
              </w:rPr>
            </w:pPr>
            <w:r>
              <w:rPr>
                <w:sz w:val="21"/>
                <w:szCs w:val="21"/>
              </w:rPr>
              <w:t>Interrelationship of family, school, and community as agents of socialization</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9D1E17" w:rsidRDefault="00EB4B97">
            <w:pPr>
              <w:numPr>
                <w:ilvl w:val="0"/>
                <w:numId w:val="3"/>
              </w:numPr>
              <w:pBdr>
                <w:top w:val="nil"/>
                <w:left w:val="nil"/>
                <w:bottom w:val="nil"/>
                <w:right w:val="nil"/>
                <w:between w:val="nil"/>
              </w:pBdr>
              <w:rPr>
                <w:sz w:val="21"/>
                <w:szCs w:val="21"/>
              </w:rPr>
            </w:pPr>
            <w:r>
              <w:rPr>
                <w:sz w:val="21"/>
                <w:szCs w:val="21"/>
              </w:rPr>
              <w:t>Influences on Socialization</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9D1E17" w:rsidRDefault="009D1E17">
            <w:pPr>
              <w:jc w:val="cente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9D1E17" w:rsidRDefault="00EB4B97">
            <w:pPr>
              <w:numPr>
                <w:ilvl w:val="1"/>
                <w:numId w:val="3"/>
              </w:numPr>
              <w:pBdr>
                <w:top w:val="nil"/>
                <w:left w:val="nil"/>
                <w:bottom w:val="nil"/>
                <w:right w:val="nil"/>
                <w:between w:val="nil"/>
              </w:pBdr>
              <w:spacing w:line="252" w:lineRule="auto"/>
              <w:rPr>
                <w:sz w:val="21"/>
                <w:szCs w:val="21"/>
              </w:rPr>
            </w:pPr>
            <w:r>
              <w:rPr>
                <w:sz w:val="21"/>
                <w:szCs w:val="21"/>
              </w:rPr>
              <w:t xml:space="preserve">Family </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9D1E17" w:rsidRDefault="009D1E17">
            <w:pPr>
              <w:jc w:val="cente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2"/>
                <w:numId w:val="3"/>
              </w:numPr>
              <w:pBdr>
                <w:top w:val="nil"/>
                <w:left w:val="nil"/>
                <w:bottom w:val="nil"/>
                <w:right w:val="nil"/>
                <w:between w:val="nil"/>
              </w:pBdr>
              <w:spacing w:line="252" w:lineRule="auto"/>
              <w:rPr>
                <w:sz w:val="21"/>
                <w:szCs w:val="21"/>
              </w:rPr>
            </w:pPr>
            <w:r>
              <w:rPr>
                <w:sz w:val="21"/>
                <w:szCs w:val="21"/>
              </w:rPr>
              <w:t>Family characteristics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2"/>
                <w:numId w:val="3"/>
              </w:numPr>
              <w:pBdr>
                <w:top w:val="nil"/>
                <w:left w:val="nil"/>
                <w:bottom w:val="nil"/>
                <w:right w:val="nil"/>
                <w:between w:val="nil"/>
              </w:pBdr>
              <w:spacing w:line="252" w:lineRule="auto"/>
              <w:rPr>
                <w:sz w:val="21"/>
                <w:szCs w:val="21"/>
              </w:rPr>
            </w:pPr>
            <w:r>
              <w:rPr>
                <w:sz w:val="21"/>
                <w:szCs w:val="21"/>
              </w:rPr>
              <w:lastRenderedPageBreak/>
              <w:t>Parenting styles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2"/>
                <w:numId w:val="3"/>
              </w:numPr>
              <w:pBdr>
                <w:top w:val="nil"/>
                <w:left w:val="nil"/>
                <w:bottom w:val="nil"/>
                <w:right w:val="nil"/>
                <w:between w:val="nil"/>
              </w:pBdr>
              <w:spacing w:line="252" w:lineRule="auto"/>
              <w:rPr>
                <w:sz w:val="21"/>
                <w:szCs w:val="21"/>
              </w:rPr>
            </w:pPr>
            <w:r>
              <w:rPr>
                <w:sz w:val="21"/>
                <w:szCs w:val="21"/>
              </w:rPr>
              <w:t>Culture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2"/>
                <w:numId w:val="3"/>
              </w:numPr>
              <w:pBdr>
                <w:top w:val="nil"/>
                <w:left w:val="nil"/>
                <w:bottom w:val="nil"/>
                <w:right w:val="nil"/>
                <w:between w:val="nil"/>
              </w:pBdr>
              <w:spacing w:line="252" w:lineRule="auto"/>
              <w:rPr>
                <w:sz w:val="21"/>
                <w:szCs w:val="21"/>
              </w:rPr>
            </w:pPr>
            <w:r>
              <w:rPr>
                <w:sz w:val="21"/>
                <w:szCs w:val="21"/>
              </w:rPr>
              <w:t>Tradition</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2"/>
                <w:numId w:val="3"/>
              </w:numPr>
              <w:pBdr>
                <w:top w:val="nil"/>
                <w:left w:val="nil"/>
                <w:bottom w:val="nil"/>
                <w:right w:val="nil"/>
                <w:between w:val="nil"/>
              </w:pBdr>
              <w:spacing w:line="252" w:lineRule="auto"/>
              <w:rPr>
                <w:sz w:val="21"/>
                <w:szCs w:val="21"/>
              </w:rPr>
            </w:pPr>
            <w:r>
              <w:rPr>
                <w:sz w:val="21"/>
                <w:szCs w:val="21"/>
              </w:rPr>
              <w:t xml:space="preserve">Values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2"/>
                <w:numId w:val="3"/>
              </w:numPr>
              <w:pBdr>
                <w:top w:val="nil"/>
                <w:left w:val="nil"/>
                <w:bottom w:val="nil"/>
                <w:right w:val="nil"/>
                <w:between w:val="nil"/>
              </w:pBdr>
              <w:spacing w:line="252" w:lineRule="auto"/>
              <w:rPr>
                <w:sz w:val="21"/>
                <w:szCs w:val="21"/>
              </w:rPr>
            </w:pPr>
            <w:r>
              <w:rPr>
                <w:sz w:val="21"/>
                <w:szCs w:val="21"/>
              </w:rPr>
              <w:t>Socio-economic status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2"/>
                <w:numId w:val="3"/>
              </w:numPr>
              <w:pBdr>
                <w:top w:val="nil"/>
                <w:left w:val="nil"/>
                <w:bottom w:val="nil"/>
                <w:right w:val="nil"/>
                <w:between w:val="nil"/>
              </w:pBdr>
              <w:spacing w:line="252" w:lineRule="auto"/>
              <w:rPr>
                <w:sz w:val="21"/>
                <w:szCs w:val="21"/>
              </w:rPr>
            </w:pPr>
            <w:r>
              <w:rPr>
                <w:sz w:val="21"/>
                <w:szCs w:val="21"/>
              </w:rPr>
              <w:t>Factors contributing to resiliency</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2"/>
                <w:numId w:val="3"/>
              </w:numPr>
              <w:pBdr>
                <w:top w:val="nil"/>
                <w:left w:val="nil"/>
                <w:bottom w:val="nil"/>
                <w:right w:val="nil"/>
                <w:between w:val="nil"/>
              </w:pBdr>
              <w:spacing w:line="252" w:lineRule="auto"/>
              <w:rPr>
                <w:sz w:val="21"/>
                <w:szCs w:val="21"/>
              </w:rPr>
            </w:pPr>
            <w:r>
              <w:rPr>
                <w:sz w:val="21"/>
                <w:szCs w:val="21"/>
              </w:rPr>
              <w:t>Language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9D1E17" w:rsidRDefault="00EB4B97">
            <w:pPr>
              <w:numPr>
                <w:ilvl w:val="1"/>
                <w:numId w:val="3"/>
              </w:numPr>
              <w:pBdr>
                <w:top w:val="nil"/>
                <w:left w:val="nil"/>
                <w:bottom w:val="nil"/>
                <w:right w:val="nil"/>
                <w:between w:val="nil"/>
              </w:pBdr>
              <w:spacing w:line="252" w:lineRule="auto"/>
              <w:rPr>
                <w:sz w:val="21"/>
                <w:szCs w:val="21"/>
              </w:rPr>
            </w:pPr>
            <w:r>
              <w:rPr>
                <w:sz w:val="21"/>
                <w:szCs w:val="21"/>
              </w:rPr>
              <w:t>School and Education</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9D1E17" w:rsidRDefault="009D1E17">
            <w:pPr>
              <w:jc w:val="cente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E17" w:rsidRDefault="00EB4B97">
            <w:pPr>
              <w:numPr>
                <w:ilvl w:val="2"/>
                <w:numId w:val="3"/>
              </w:numPr>
              <w:pBdr>
                <w:top w:val="nil"/>
                <w:left w:val="nil"/>
                <w:bottom w:val="nil"/>
                <w:right w:val="nil"/>
                <w:between w:val="nil"/>
              </w:pBdr>
              <w:spacing w:line="252" w:lineRule="auto"/>
              <w:rPr>
                <w:sz w:val="21"/>
                <w:szCs w:val="21"/>
              </w:rPr>
            </w:pPr>
            <w:r>
              <w:rPr>
                <w:sz w:val="21"/>
                <w:szCs w:val="21"/>
              </w:rPr>
              <w:t>School Systems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spacing w:line="252" w:lineRule="auto"/>
              <w:rPr>
                <w:sz w:val="21"/>
                <w:szCs w:val="21"/>
              </w:rPr>
            </w:pPr>
            <w:r>
              <w:rPr>
                <w:sz w:val="21"/>
                <w:szCs w:val="21"/>
              </w:rPr>
              <w:t>Types of schooling</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spacing w:line="252" w:lineRule="auto"/>
              <w:rPr>
                <w:sz w:val="21"/>
                <w:szCs w:val="21"/>
              </w:rPr>
            </w:pPr>
            <w:bookmarkStart w:id="2" w:name="_gjdgxs" w:colFirst="0" w:colLast="0"/>
            <w:bookmarkEnd w:id="2"/>
            <w:r>
              <w:rPr>
                <w:sz w:val="21"/>
                <w:szCs w:val="21"/>
              </w:rPr>
              <w:t xml:space="preserve">Educational practices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spacing w:line="252" w:lineRule="auto"/>
              <w:rPr>
                <w:sz w:val="21"/>
                <w:szCs w:val="21"/>
              </w:rPr>
            </w:pPr>
            <w:r>
              <w:rPr>
                <w:sz w:val="21"/>
                <w:szCs w:val="21"/>
              </w:rPr>
              <w:t>School and family partnerships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spacing w:line="252" w:lineRule="auto"/>
              <w:rPr>
                <w:sz w:val="21"/>
                <w:szCs w:val="21"/>
              </w:rPr>
            </w:pPr>
            <w:r>
              <w:rPr>
                <w:sz w:val="21"/>
                <w:szCs w:val="21"/>
              </w:rPr>
              <w:t>Socioeconomic variations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spacing w:line="252" w:lineRule="auto"/>
              <w:rPr>
                <w:sz w:val="21"/>
                <w:szCs w:val="21"/>
              </w:rPr>
            </w:pPr>
            <w:r>
              <w:rPr>
                <w:sz w:val="21"/>
                <w:szCs w:val="21"/>
              </w:rPr>
              <w:t>Institutional policies that perpetuate systemic racism</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E17" w:rsidRDefault="00EB4B97">
            <w:pPr>
              <w:numPr>
                <w:ilvl w:val="2"/>
                <w:numId w:val="3"/>
              </w:numPr>
              <w:pBdr>
                <w:top w:val="nil"/>
                <w:left w:val="nil"/>
                <w:bottom w:val="nil"/>
                <w:right w:val="nil"/>
                <w:between w:val="nil"/>
              </w:pBdr>
              <w:spacing w:line="252" w:lineRule="auto"/>
              <w:rPr>
                <w:sz w:val="21"/>
                <w:szCs w:val="21"/>
              </w:rPr>
            </w:pPr>
            <w:r>
              <w:rPr>
                <w:sz w:val="21"/>
                <w:szCs w:val="21"/>
              </w:rPr>
              <w:t>Teachers and Caregivers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rPr>
                <w:sz w:val="21"/>
                <w:szCs w:val="21"/>
              </w:rPr>
            </w:pPr>
            <w:r>
              <w:rPr>
                <w:sz w:val="21"/>
                <w:szCs w:val="21"/>
              </w:rPr>
              <w:t>Influence of teachers’ personal experiences, biases, and perspectives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rPr>
                <w:sz w:val="21"/>
                <w:szCs w:val="21"/>
              </w:rPr>
            </w:pPr>
            <w:r>
              <w:rPr>
                <w:sz w:val="21"/>
                <w:szCs w:val="21"/>
              </w:rPr>
              <w:t>Legal requirements and ethical responsibilities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rPr>
                <w:sz w:val="21"/>
                <w:szCs w:val="21"/>
              </w:rPr>
            </w:pPr>
            <w:r>
              <w:rPr>
                <w:sz w:val="21"/>
                <w:szCs w:val="21"/>
              </w:rPr>
              <w:t>Relationships with families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rPr>
                <w:sz w:val="21"/>
                <w:szCs w:val="21"/>
              </w:rPr>
            </w:pPr>
            <w:r>
              <w:rPr>
                <w:sz w:val="21"/>
                <w:szCs w:val="21"/>
              </w:rPr>
              <w:t>Guidance and discipline strategies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rPr>
                <w:sz w:val="21"/>
                <w:szCs w:val="21"/>
              </w:rPr>
            </w:pPr>
            <w:r>
              <w:rPr>
                <w:sz w:val="21"/>
                <w:szCs w:val="21"/>
              </w:rPr>
              <w:t>Classroom community</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4"/>
                <w:numId w:val="3"/>
              </w:numPr>
              <w:pBdr>
                <w:top w:val="nil"/>
                <w:left w:val="nil"/>
                <w:bottom w:val="nil"/>
                <w:right w:val="nil"/>
                <w:between w:val="nil"/>
              </w:pBdr>
              <w:rPr>
                <w:sz w:val="21"/>
                <w:szCs w:val="21"/>
              </w:rPr>
            </w:pPr>
            <w:r>
              <w:rPr>
                <w:sz w:val="21"/>
                <w:szCs w:val="21"/>
              </w:rPr>
              <w:t>Peer relationships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4"/>
                <w:numId w:val="3"/>
              </w:numPr>
              <w:pBdr>
                <w:top w:val="nil"/>
                <w:left w:val="nil"/>
                <w:bottom w:val="nil"/>
                <w:right w:val="nil"/>
                <w:between w:val="nil"/>
              </w:pBdr>
              <w:rPr>
                <w:sz w:val="21"/>
                <w:szCs w:val="21"/>
              </w:rPr>
            </w:pPr>
            <w:r>
              <w:rPr>
                <w:sz w:val="21"/>
                <w:szCs w:val="21"/>
              </w:rPr>
              <w:t>Environments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rPr>
                <w:sz w:val="21"/>
                <w:szCs w:val="21"/>
              </w:rPr>
            </w:pPr>
            <w:r>
              <w:rPr>
                <w:sz w:val="21"/>
                <w:szCs w:val="21"/>
              </w:rPr>
              <w:t xml:space="preserve">Impact of factors outside the classroom on children’s well-being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9D1E17" w:rsidRDefault="00EB4B97">
            <w:pPr>
              <w:numPr>
                <w:ilvl w:val="1"/>
                <w:numId w:val="3"/>
              </w:numPr>
              <w:pBdr>
                <w:top w:val="nil"/>
                <w:left w:val="nil"/>
                <w:bottom w:val="nil"/>
                <w:right w:val="nil"/>
                <w:between w:val="nil"/>
              </w:pBdr>
              <w:spacing w:line="252" w:lineRule="auto"/>
              <w:rPr>
                <w:sz w:val="21"/>
                <w:szCs w:val="21"/>
              </w:rPr>
            </w:pPr>
            <w:r>
              <w:rPr>
                <w:sz w:val="21"/>
                <w:szCs w:val="21"/>
              </w:rPr>
              <w:t>Community</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9D1E17" w:rsidRDefault="009D1E17">
            <w:pPr>
              <w:jc w:val="center"/>
              <w:rPr>
                <w:sz w:val="21"/>
                <w:szCs w:val="21"/>
              </w:rPr>
            </w:pPr>
          </w:p>
        </w:tc>
      </w:tr>
      <w:tr w:rsidR="009D1E17">
        <w:trPr>
          <w:trHeight w:val="557"/>
        </w:trPr>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2"/>
                <w:numId w:val="3"/>
              </w:numPr>
              <w:pBdr>
                <w:top w:val="nil"/>
                <w:left w:val="nil"/>
                <w:bottom w:val="nil"/>
                <w:right w:val="nil"/>
                <w:between w:val="nil"/>
              </w:pBdr>
              <w:ind w:left="2174" w:hanging="185"/>
              <w:rPr>
                <w:sz w:val="21"/>
                <w:szCs w:val="21"/>
              </w:rPr>
            </w:pPr>
            <w:r>
              <w:rPr>
                <w:sz w:val="21"/>
                <w:szCs w:val="21"/>
              </w:rPr>
              <w:t>Influences of the community as a social force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spacing w:line="252" w:lineRule="auto"/>
              <w:rPr>
                <w:sz w:val="21"/>
                <w:szCs w:val="21"/>
              </w:rPr>
            </w:pPr>
            <w:r>
              <w:rPr>
                <w:sz w:val="21"/>
                <w:szCs w:val="21"/>
              </w:rPr>
              <w:t>Neighborhoods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spacing w:line="252" w:lineRule="auto"/>
              <w:rPr>
                <w:sz w:val="21"/>
                <w:szCs w:val="21"/>
              </w:rPr>
            </w:pPr>
            <w:r>
              <w:rPr>
                <w:sz w:val="21"/>
                <w:szCs w:val="21"/>
              </w:rPr>
              <w:t>Demographics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rPr>
          <w:trHeight w:val="64"/>
        </w:trPr>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spacing w:line="252" w:lineRule="auto"/>
              <w:rPr>
                <w:sz w:val="21"/>
                <w:szCs w:val="21"/>
              </w:rPr>
            </w:pPr>
            <w:r>
              <w:rPr>
                <w:sz w:val="21"/>
                <w:szCs w:val="21"/>
              </w:rPr>
              <w:t>Infrastructure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spacing w:line="252" w:lineRule="auto"/>
              <w:rPr>
                <w:sz w:val="21"/>
                <w:szCs w:val="21"/>
              </w:rPr>
            </w:pPr>
            <w:r>
              <w:rPr>
                <w:sz w:val="21"/>
                <w:szCs w:val="21"/>
              </w:rPr>
              <w:t>Collaboration and partnerships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2"/>
                <w:numId w:val="3"/>
              </w:numPr>
              <w:pBdr>
                <w:top w:val="nil"/>
                <w:left w:val="nil"/>
                <w:bottom w:val="nil"/>
                <w:right w:val="nil"/>
                <w:between w:val="nil"/>
              </w:pBdr>
              <w:spacing w:line="252" w:lineRule="auto"/>
              <w:rPr>
                <w:sz w:val="21"/>
                <w:szCs w:val="21"/>
              </w:rPr>
            </w:pPr>
            <w:r>
              <w:rPr>
                <w:sz w:val="21"/>
                <w:szCs w:val="21"/>
              </w:rPr>
              <w:t xml:space="preserve">Resources, services, and referral systems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spacing w:line="252" w:lineRule="auto"/>
              <w:rPr>
                <w:sz w:val="21"/>
                <w:szCs w:val="21"/>
              </w:rPr>
            </w:pPr>
            <w:r>
              <w:rPr>
                <w:sz w:val="21"/>
                <w:szCs w:val="21"/>
              </w:rPr>
              <w:t>Housing and food insecurity</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spacing w:line="252" w:lineRule="auto"/>
              <w:rPr>
                <w:sz w:val="21"/>
                <w:szCs w:val="21"/>
              </w:rPr>
            </w:pPr>
            <w:r>
              <w:rPr>
                <w:sz w:val="21"/>
                <w:szCs w:val="21"/>
              </w:rPr>
              <w:t>Trauma</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spacing w:line="252" w:lineRule="auto"/>
              <w:rPr>
                <w:sz w:val="21"/>
                <w:szCs w:val="21"/>
              </w:rPr>
            </w:pPr>
            <w:r>
              <w:rPr>
                <w:sz w:val="21"/>
                <w:szCs w:val="21"/>
              </w:rPr>
              <w:t>Abuse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spacing w:line="252" w:lineRule="auto"/>
              <w:rPr>
                <w:sz w:val="21"/>
                <w:szCs w:val="21"/>
              </w:rPr>
            </w:pPr>
            <w:r>
              <w:rPr>
                <w:sz w:val="21"/>
                <w:szCs w:val="21"/>
              </w:rPr>
              <w:t>Foster care/child welfare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spacing w:line="252" w:lineRule="auto"/>
              <w:rPr>
                <w:sz w:val="21"/>
                <w:szCs w:val="21"/>
              </w:rPr>
            </w:pPr>
            <w:r>
              <w:rPr>
                <w:sz w:val="21"/>
                <w:szCs w:val="21"/>
              </w:rPr>
              <w:t>Incarceration</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3"/>
                <w:numId w:val="3"/>
              </w:numPr>
              <w:pBdr>
                <w:top w:val="nil"/>
                <w:left w:val="nil"/>
                <w:bottom w:val="nil"/>
                <w:right w:val="nil"/>
                <w:between w:val="nil"/>
              </w:pBdr>
              <w:spacing w:line="252" w:lineRule="auto"/>
              <w:rPr>
                <w:sz w:val="21"/>
                <w:szCs w:val="21"/>
              </w:rPr>
            </w:pPr>
            <w:r>
              <w:rPr>
                <w:sz w:val="21"/>
                <w:szCs w:val="21"/>
              </w:rPr>
              <w:t>Medically fragile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EBF1DD"/>
          </w:tcPr>
          <w:p w:rsidR="009D1E17" w:rsidRDefault="00EB4B97">
            <w:pPr>
              <w:numPr>
                <w:ilvl w:val="0"/>
                <w:numId w:val="3"/>
              </w:numPr>
              <w:pBdr>
                <w:top w:val="nil"/>
                <w:left w:val="nil"/>
                <w:bottom w:val="nil"/>
                <w:right w:val="nil"/>
                <w:between w:val="nil"/>
              </w:pBdr>
              <w:spacing w:line="252" w:lineRule="auto"/>
              <w:rPr>
                <w:sz w:val="21"/>
                <w:szCs w:val="21"/>
              </w:rPr>
            </w:pPr>
            <w:r>
              <w:rPr>
                <w:sz w:val="21"/>
                <w:szCs w:val="21"/>
              </w:rPr>
              <w:t>Impact of contemporary social issues such as:</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9D1E17" w:rsidRDefault="009D1E17">
            <w:pPr>
              <w:jc w:val="cente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1"/>
                <w:numId w:val="3"/>
              </w:numPr>
              <w:pBdr>
                <w:top w:val="nil"/>
                <w:left w:val="nil"/>
                <w:bottom w:val="nil"/>
                <w:right w:val="nil"/>
                <w:between w:val="nil"/>
              </w:pBdr>
              <w:spacing w:line="252" w:lineRule="auto"/>
              <w:rPr>
                <w:sz w:val="21"/>
                <w:szCs w:val="21"/>
              </w:rPr>
            </w:pPr>
            <w:r>
              <w:rPr>
                <w:sz w:val="21"/>
                <w:szCs w:val="21"/>
              </w:rPr>
              <w:t xml:space="preserve">Stereotypes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1"/>
                <w:numId w:val="3"/>
              </w:numPr>
              <w:pBdr>
                <w:top w:val="nil"/>
                <w:left w:val="nil"/>
                <w:bottom w:val="nil"/>
                <w:right w:val="nil"/>
                <w:between w:val="nil"/>
              </w:pBdr>
              <w:spacing w:line="252" w:lineRule="auto"/>
              <w:rPr>
                <w:sz w:val="21"/>
                <w:szCs w:val="21"/>
              </w:rPr>
            </w:pPr>
            <w:r>
              <w:rPr>
                <w:sz w:val="21"/>
                <w:szCs w:val="21"/>
              </w:rPr>
              <w:t>Age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1"/>
                <w:numId w:val="3"/>
              </w:numPr>
              <w:pBdr>
                <w:top w:val="nil"/>
                <w:left w:val="nil"/>
                <w:bottom w:val="nil"/>
                <w:right w:val="nil"/>
                <w:between w:val="nil"/>
              </w:pBdr>
              <w:spacing w:line="252" w:lineRule="auto"/>
              <w:rPr>
                <w:sz w:val="21"/>
                <w:szCs w:val="21"/>
              </w:rPr>
            </w:pPr>
            <w:r>
              <w:rPr>
                <w:sz w:val="21"/>
                <w:szCs w:val="21"/>
              </w:rPr>
              <w:t>Gender</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1"/>
                <w:numId w:val="3"/>
              </w:numPr>
              <w:pBdr>
                <w:top w:val="nil"/>
                <w:left w:val="nil"/>
                <w:bottom w:val="nil"/>
                <w:right w:val="nil"/>
                <w:between w:val="nil"/>
              </w:pBdr>
              <w:spacing w:line="252" w:lineRule="auto"/>
              <w:rPr>
                <w:sz w:val="21"/>
                <w:szCs w:val="21"/>
              </w:rPr>
            </w:pPr>
            <w:r>
              <w:rPr>
                <w:sz w:val="21"/>
                <w:szCs w:val="21"/>
              </w:rPr>
              <w:t xml:space="preserve">Ability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1"/>
                <w:numId w:val="3"/>
              </w:numPr>
              <w:pBdr>
                <w:top w:val="nil"/>
                <w:left w:val="nil"/>
                <w:bottom w:val="nil"/>
                <w:right w:val="nil"/>
                <w:between w:val="nil"/>
              </w:pBdr>
              <w:spacing w:line="252" w:lineRule="auto"/>
              <w:rPr>
                <w:sz w:val="21"/>
                <w:szCs w:val="21"/>
              </w:rPr>
            </w:pPr>
            <w:r>
              <w:rPr>
                <w:sz w:val="21"/>
                <w:szCs w:val="21"/>
              </w:rPr>
              <w:t xml:space="preserve">Language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1"/>
                <w:numId w:val="3"/>
              </w:numPr>
              <w:pBdr>
                <w:top w:val="nil"/>
                <w:left w:val="nil"/>
                <w:bottom w:val="nil"/>
                <w:right w:val="nil"/>
                <w:between w:val="nil"/>
              </w:pBdr>
              <w:spacing w:line="252" w:lineRule="auto"/>
              <w:rPr>
                <w:sz w:val="21"/>
                <w:szCs w:val="21"/>
              </w:rPr>
            </w:pPr>
            <w:r>
              <w:rPr>
                <w:sz w:val="21"/>
                <w:szCs w:val="21"/>
              </w:rPr>
              <w:t xml:space="preserve">Culture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1"/>
                <w:numId w:val="3"/>
              </w:numPr>
              <w:pBdr>
                <w:top w:val="nil"/>
                <w:left w:val="nil"/>
                <w:bottom w:val="nil"/>
                <w:right w:val="nil"/>
                <w:between w:val="nil"/>
              </w:pBdr>
              <w:spacing w:line="252" w:lineRule="auto"/>
              <w:rPr>
                <w:sz w:val="21"/>
                <w:szCs w:val="21"/>
              </w:rPr>
            </w:pPr>
            <w:r>
              <w:rPr>
                <w:sz w:val="21"/>
                <w:szCs w:val="21"/>
              </w:rPr>
              <w:lastRenderedPageBreak/>
              <w:t>Media and technology</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1"/>
                <w:numId w:val="3"/>
              </w:numPr>
              <w:pBdr>
                <w:top w:val="nil"/>
                <w:left w:val="nil"/>
                <w:bottom w:val="nil"/>
                <w:right w:val="nil"/>
                <w:between w:val="nil"/>
              </w:pBdr>
              <w:spacing w:line="252" w:lineRule="auto"/>
              <w:rPr>
                <w:sz w:val="21"/>
                <w:szCs w:val="21"/>
              </w:rPr>
            </w:pPr>
            <w:r>
              <w:rPr>
                <w:sz w:val="21"/>
                <w:szCs w:val="21"/>
              </w:rPr>
              <w:t xml:space="preserve">Racial identity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1"/>
                <w:numId w:val="3"/>
              </w:numPr>
              <w:pBdr>
                <w:top w:val="nil"/>
                <w:left w:val="nil"/>
                <w:bottom w:val="nil"/>
                <w:right w:val="nil"/>
                <w:between w:val="nil"/>
              </w:pBdr>
              <w:spacing w:line="252" w:lineRule="auto"/>
              <w:rPr>
                <w:sz w:val="21"/>
                <w:szCs w:val="21"/>
              </w:rPr>
            </w:pPr>
            <w:r>
              <w:rPr>
                <w:sz w:val="21"/>
                <w:szCs w:val="21"/>
              </w:rPr>
              <w:t>Political context</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1"/>
                <w:numId w:val="3"/>
              </w:numPr>
              <w:pBdr>
                <w:top w:val="nil"/>
                <w:left w:val="nil"/>
                <w:bottom w:val="nil"/>
                <w:right w:val="nil"/>
                <w:between w:val="nil"/>
              </w:pBdr>
              <w:spacing w:line="252" w:lineRule="auto"/>
              <w:rPr>
                <w:sz w:val="21"/>
                <w:szCs w:val="21"/>
              </w:rPr>
            </w:pPr>
            <w:r>
              <w:rPr>
                <w:sz w:val="21"/>
                <w:szCs w:val="21"/>
              </w:rPr>
              <w:t>Public policy</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1"/>
                <w:numId w:val="3"/>
              </w:numPr>
              <w:pBdr>
                <w:top w:val="nil"/>
                <w:left w:val="nil"/>
                <w:bottom w:val="nil"/>
                <w:right w:val="nil"/>
                <w:between w:val="nil"/>
              </w:pBdr>
              <w:spacing w:line="252" w:lineRule="auto"/>
              <w:rPr>
                <w:sz w:val="21"/>
                <w:szCs w:val="21"/>
              </w:rPr>
            </w:pPr>
            <w:r>
              <w:rPr>
                <w:sz w:val="21"/>
                <w:szCs w:val="21"/>
              </w:rPr>
              <w:t>Ethnicity</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1"/>
                <w:numId w:val="3"/>
              </w:numPr>
              <w:pBdr>
                <w:top w:val="nil"/>
                <w:left w:val="nil"/>
                <w:bottom w:val="nil"/>
                <w:right w:val="nil"/>
                <w:between w:val="nil"/>
              </w:pBdr>
              <w:spacing w:line="252" w:lineRule="auto"/>
              <w:rPr>
                <w:sz w:val="21"/>
                <w:szCs w:val="21"/>
              </w:rPr>
            </w:pPr>
            <w:r>
              <w:rPr>
                <w:sz w:val="21"/>
                <w:szCs w:val="21"/>
              </w:rPr>
              <w:t>Socio-economic status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EBF1DD"/>
          </w:tcPr>
          <w:p w:rsidR="009D1E17" w:rsidRDefault="00EB4B97">
            <w:pPr>
              <w:numPr>
                <w:ilvl w:val="0"/>
                <w:numId w:val="3"/>
              </w:numPr>
              <w:pBdr>
                <w:top w:val="nil"/>
                <w:left w:val="nil"/>
                <w:bottom w:val="nil"/>
                <w:right w:val="nil"/>
                <w:between w:val="nil"/>
              </w:pBdr>
              <w:rPr>
                <w:sz w:val="21"/>
                <w:szCs w:val="21"/>
              </w:rPr>
            </w:pPr>
            <w:r>
              <w:rPr>
                <w:sz w:val="21"/>
                <w:szCs w:val="21"/>
              </w:rPr>
              <w:t xml:space="preserve">Strategies for engaging and supporting families </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1"/>
                <w:numId w:val="3"/>
              </w:numPr>
              <w:pBdr>
                <w:top w:val="nil"/>
                <w:left w:val="nil"/>
                <w:bottom w:val="nil"/>
                <w:right w:val="nil"/>
                <w:between w:val="nil"/>
              </w:pBdr>
              <w:rPr>
                <w:sz w:val="21"/>
                <w:szCs w:val="21"/>
              </w:rPr>
            </w:pPr>
            <w:r>
              <w:rPr>
                <w:sz w:val="21"/>
                <w:szCs w:val="21"/>
              </w:rPr>
              <w:t>Effective communication</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1"/>
                <w:numId w:val="3"/>
              </w:numPr>
              <w:pBdr>
                <w:top w:val="nil"/>
                <w:left w:val="nil"/>
                <w:bottom w:val="nil"/>
                <w:right w:val="nil"/>
                <w:between w:val="nil"/>
              </w:pBdr>
              <w:rPr>
                <w:sz w:val="21"/>
                <w:szCs w:val="21"/>
              </w:rPr>
            </w:pPr>
            <w:r>
              <w:rPr>
                <w:sz w:val="21"/>
                <w:szCs w:val="21"/>
              </w:rPr>
              <w:t xml:space="preserve">Home-School Partnerships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1"/>
                <w:numId w:val="3"/>
              </w:numPr>
              <w:pBdr>
                <w:top w:val="nil"/>
                <w:left w:val="nil"/>
                <w:bottom w:val="nil"/>
                <w:right w:val="nil"/>
                <w:between w:val="nil"/>
              </w:pBdr>
              <w:rPr>
                <w:sz w:val="21"/>
                <w:szCs w:val="21"/>
              </w:rPr>
            </w:pPr>
            <w:r>
              <w:rPr>
                <w:sz w:val="21"/>
                <w:szCs w:val="21"/>
              </w:rPr>
              <w:t>Advocacy strategies to influence policy on behalf of children and families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r w:rsidR="009D1E17">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EB4B97">
            <w:pPr>
              <w:numPr>
                <w:ilvl w:val="1"/>
                <w:numId w:val="3"/>
              </w:numPr>
              <w:pBdr>
                <w:top w:val="nil"/>
                <w:left w:val="nil"/>
                <w:bottom w:val="nil"/>
                <w:right w:val="nil"/>
                <w:between w:val="nil"/>
              </w:pBdr>
              <w:rPr>
                <w:sz w:val="21"/>
                <w:szCs w:val="21"/>
              </w:rPr>
            </w:pPr>
            <w:r>
              <w:rPr>
                <w:sz w:val="21"/>
                <w:szCs w:val="21"/>
              </w:rPr>
              <w:t>Supporting families to create positive relationships at home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D1E17" w:rsidRDefault="009D1E17">
            <w:pPr>
              <w:rPr>
                <w:sz w:val="21"/>
                <w:szCs w:val="21"/>
              </w:rPr>
            </w:pPr>
          </w:p>
        </w:tc>
      </w:tr>
    </w:tbl>
    <w:p w:rsidR="009D1E17" w:rsidRDefault="009D1E17"/>
    <w:p w:rsidR="009D1E17" w:rsidRDefault="009D1E17"/>
    <w:p w:rsidR="009D1E17" w:rsidRDefault="00EB4B97">
      <w:pPr>
        <w:pStyle w:val="Heading2"/>
        <w:spacing w:before="0"/>
        <w:rPr>
          <w:sz w:val="24"/>
          <w:szCs w:val="24"/>
        </w:rPr>
      </w:pPr>
      <w:bookmarkStart w:id="3" w:name="_c7lmiu73pqps" w:colFirst="0" w:colLast="0"/>
      <w:bookmarkEnd w:id="3"/>
      <w:r>
        <w:rPr>
          <w:sz w:val="24"/>
          <w:szCs w:val="24"/>
        </w:rPr>
        <w:t>Student Learning Outcomes are optional in the alignment process. They may be listed here.</w:t>
      </w:r>
    </w:p>
    <w:tbl>
      <w:tblPr>
        <w:tblStyle w:val="a0"/>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7"/>
        <w:gridCol w:w="4523"/>
      </w:tblGrid>
      <w:tr w:rsidR="009D1E17">
        <w:tc>
          <w:tcPr>
            <w:tcW w:w="6187" w:type="dxa"/>
            <w:shd w:val="clear" w:color="auto" w:fill="EBF1DD"/>
          </w:tcPr>
          <w:p w:rsidR="009D1E17" w:rsidRDefault="00EB4B97">
            <w:pPr>
              <w:rPr>
                <w:b/>
                <w:sz w:val="21"/>
                <w:szCs w:val="21"/>
              </w:rPr>
            </w:pPr>
            <w:r>
              <w:rPr>
                <w:b/>
                <w:sz w:val="21"/>
                <w:szCs w:val="21"/>
              </w:rPr>
              <w:t>CAP Student Learning Outcomes (SLOs):</w:t>
            </w:r>
          </w:p>
        </w:tc>
        <w:tc>
          <w:tcPr>
            <w:tcW w:w="4523" w:type="dxa"/>
            <w:shd w:val="clear" w:color="auto" w:fill="EBF1DD"/>
          </w:tcPr>
          <w:p w:rsidR="009D1E17" w:rsidRDefault="00EB4B97">
            <w:pPr>
              <w:rPr>
                <w:b/>
                <w:sz w:val="21"/>
                <w:szCs w:val="21"/>
              </w:rPr>
            </w:pPr>
            <w:r>
              <w:rPr>
                <w:b/>
                <w:sz w:val="21"/>
                <w:szCs w:val="21"/>
              </w:rPr>
              <w:t>Your Student Learning Outcomes (SLOs):</w:t>
            </w:r>
          </w:p>
        </w:tc>
      </w:tr>
      <w:tr w:rsidR="009D1E17">
        <w:tc>
          <w:tcPr>
            <w:tcW w:w="6187" w:type="dxa"/>
          </w:tcPr>
          <w:p w:rsidR="009D1E17" w:rsidRDefault="00EB4B97">
            <w:pPr>
              <w:numPr>
                <w:ilvl w:val="0"/>
                <w:numId w:val="1"/>
              </w:numPr>
              <w:rPr>
                <w:sz w:val="21"/>
                <w:szCs w:val="21"/>
              </w:rPr>
            </w:pPr>
            <w:r>
              <w:rPr>
                <w:sz w:val="21"/>
                <w:szCs w:val="21"/>
              </w:rPr>
              <w:t>Describe socialization of the child focusing on the interrelationship of family, culture, teachers, and the community.</w:t>
            </w:r>
          </w:p>
        </w:tc>
        <w:tc>
          <w:tcPr>
            <w:tcW w:w="4523" w:type="dxa"/>
          </w:tcPr>
          <w:p w:rsidR="009D1E17" w:rsidRDefault="009D1E17">
            <w:pPr>
              <w:rPr>
                <w:sz w:val="21"/>
                <w:szCs w:val="21"/>
              </w:rPr>
            </w:pPr>
          </w:p>
        </w:tc>
      </w:tr>
      <w:tr w:rsidR="009D1E17">
        <w:tc>
          <w:tcPr>
            <w:tcW w:w="6187" w:type="dxa"/>
          </w:tcPr>
          <w:p w:rsidR="009D1E17" w:rsidRDefault="00EB4B97">
            <w:pPr>
              <w:numPr>
                <w:ilvl w:val="0"/>
                <w:numId w:val="1"/>
              </w:numPr>
              <w:rPr>
                <w:sz w:val="21"/>
                <w:szCs w:val="21"/>
              </w:rPr>
            </w:pPr>
            <w:r>
              <w:rPr>
                <w:sz w:val="21"/>
                <w:szCs w:val="21"/>
              </w:rPr>
              <w:t>Describe strategies for collaboration with families to support children's development and learning that are respectful, reciprocal, and engaging.</w:t>
            </w:r>
          </w:p>
        </w:tc>
        <w:tc>
          <w:tcPr>
            <w:tcW w:w="4523" w:type="dxa"/>
          </w:tcPr>
          <w:p w:rsidR="009D1E17" w:rsidRDefault="009D1E17">
            <w:pPr>
              <w:tabs>
                <w:tab w:val="left" w:pos="540"/>
                <w:tab w:val="left" w:pos="5040"/>
                <w:tab w:val="left" w:pos="8640"/>
              </w:tabs>
              <w:rPr>
                <w:sz w:val="21"/>
                <w:szCs w:val="21"/>
              </w:rPr>
            </w:pPr>
          </w:p>
        </w:tc>
      </w:tr>
      <w:tr w:rsidR="009D1E17">
        <w:tc>
          <w:tcPr>
            <w:tcW w:w="6187" w:type="dxa"/>
          </w:tcPr>
          <w:p w:rsidR="009D1E17" w:rsidRDefault="00EB4B97">
            <w:pPr>
              <w:numPr>
                <w:ilvl w:val="0"/>
                <w:numId w:val="1"/>
              </w:numPr>
              <w:rPr>
                <w:sz w:val="21"/>
                <w:szCs w:val="21"/>
              </w:rPr>
            </w:pPr>
            <w:r>
              <w:rPr>
                <w:sz w:val="21"/>
                <w:szCs w:val="21"/>
              </w:rPr>
              <w:t>Identify community resources to support children and their families.</w:t>
            </w:r>
          </w:p>
        </w:tc>
        <w:tc>
          <w:tcPr>
            <w:tcW w:w="4523" w:type="dxa"/>
          </w:tcPr>
          <w:p w:rsidR="009D1E17" w:rsidRDefault="009D1E17">
            <w:pPr>
              <w:tabs>
                <w:tab w:val="left" w:pos="540"/>
                <w:tab w:val="left" w:pos="5040"/>
                <w:tab w:val="left" w:pos="8640"/>
              </w:tabs>
              <w:rPr>
                <w:sz w:val="21"/>
                <w:szCs w:val="21"/>
              </w:rPr>
            </w:pPr>
          </w:p>
        </w:tc>
      </w:tr>
    </w:tbl>
    <w:p w:rsidR="009D1E17" w:rsidRDefault="009D1E17"/>
    <w:sectPr w:rsidR="009D1E17" w:rsidSect="00A756BB">
      <w:headerReference w:type="even" r:id="rId7"/>
      <w:headerReference w:type="default" r:id="rId8"/>
      <w:footerReference w:type="even" r:id="rId9"/>
      <w:footerReference w:type="default" r:id="rId10"/>
      <w:headerReference w:type="first" r:id="rId11"/>
      <w:footerReference w:type="first" r:id="rId12"/>
      <w:pgSz w:w="12240" w:h="15840"/>
      <w:pgMar w:top="1080" w:right="720" w:bottom="1260" w:left="1440" w:header="720" w:footer="6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372" w:rsidRDefault="00002372">
      <w:r>
        <w:separator/>
      </w:r>
    </w:p>
  </w:endnote>
  <w:endnote w:type="continuationSeparator" w:id="0">
    <w:p w:rsidR="00002372" w:rsidRDefault="0000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6BB" w:rsidRDefault="00A75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6BB" w:rsidRDefault="00A75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6BB" w:rsidRDefault="00A756BB" w:rsidP="00A756BB">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CAP is administered by the Child Development Training Consortium (CDTC), www.childdevelopment.org, and funded by the California Department of Social Services, Child Care and Development Division.</w:t>
    </w:r>
  </w:p>
  <w:p w:rsidR="00A756BB" w:rsidRDefault="00A75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372" w:rsidRDefault="00002372">
      <w:r>
        <w:separator/>
      </w:r>
    </w:p>
  </w:footnote>
  <w:footnote w:type="continuationSeparator" w:id="0">
    <w:p w:rsidR="00002372" w:rsidRDefault="00002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6BB" w:rsidRDefault="00A75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17" w:rsidRDefault="00EB4B97">
    <w:pPr>
      <w:pBdr>
        <w:top w:val="nil"/>
        <w:left w:val="nil"/>
        <w:bottom w:val="nil"/>
        <w:right w:val="nil"/>
        <w:between w:val="nil"/>
      </w:pBdr>
      <w:tabs>
        <w:tab w:val="center" w:pos="4680"/>
        <w:tab w:val="right" w:pos="9360"/>
      </w:tabs>
      <w:rPr>
        <w:color w:val="000000"/>
      </w:rPr>
    </w:pPr>
    <w:r>
      <w:rPr>
        <w:color w:val="000000"/>
      </w:rPr>
      <w:t>Child Family and Community (cont’d)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6BB" w:rsidRDefault="00A75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C65"/>
    <w:multiLevelType w:val="multilevel"/>
    <w:tmpl w:val="685A9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F5014F2"/>
    <w:multiLevelType w:val="multilevel"/>
    <w:tmpl w:val="65760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45B159B"/>
    <w:multiLevelType w:val="multilevel"/>
    <w:tmpl w:val="2A964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17"/>
    <w:rsid w:val="00002372"/>
    <w:rsid w:val="00093620"/>
    <w:rsid w:val="001F391A"/>
    <w:rsid w:val="009D1E17"/>
    <w:rsid w:val="00A03BF6"/>
    <w:rsid w:val="00A756BB"/>
    <w:rsid w:val="00AC3D7D"/>
    <w:rsid w:val="00B5295B"/>
    <w:rsid w:val="00C06D86"/>
    <w:rsid w:val="00C36DDF"/>
    <w:rsid w:val="00EB4B97"/>
    <w:rsid w:val="00FD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6A6F3"/>
  <w15:docId w15:val="{7B261078-3A7D-41E9-B42E-9C9A6412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center"/>
      <w:outlineLvl w:val="0"/>
    </w:pPr>
    <w:rPr>
      <w:b/>
      <w:color w:val="000099"/>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756BB"/>
    <w:pPr>
      <w:tabs>
        <w:tab w:val="center" w:pos="4680"/>
        <w:tab w:val="right" w:pos="9360"/>
      </w:tabs>
    </w:pPr>
  </w:style>
  <w:style w:type="character" w:customStyle="1" w:styleId="HeaderChar">
    <w:name w:val="Header Char"/>
    <w:basedOn w:val="DefaultParagraphFont"/>
    <w:link w:val="Header"/>
    <w:uiPriority w:val="99"/>
    <w:rsid w:val="00A756BB"/>
  </w:style>
  <w:style w:type="paragraph" w:styleId="Footer">
    <w:name w:val="footer"/>
    <w:basedOn w:val="Normal"/>
    <w:link w:val="FooterChar"/>
    <w:uiPriority w:val="99"/>
    <w:unhideWhenUsed/>
    <w:rsid w:val="00A756BB"/>
    <w:pPr>
      <w:tabs>
        <w:tab w:val="center" w:pos="4680"/>
        <w:tab w:val="right" w:pos="9360"/>
      </w:tabs>
    </w:pPr>
  </w:style>
  <w:style w:type="character" w:customStyle="1" w:styleId="FooterChar">
    <w:name w:val="Footer Char"/>
    <w:basedOn w:val="DefaultParagraphFont"/>
    <w:link w:val="Footer"/>
    <w:uiPriority w:val="99"/>
    <w:rsid w:val="00A7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Doornenbal</dc:creator>
  <cp:lastModifiedBy>Janell Doornenbal</cp:lastModifiedBy>
  <cp:revision>9</cp:revision>
  <dcterms:created xsi:type="dcterms:W3CDTF">2023-02-22T19:51:00Z</dcterms:created>
  <dcterms:modified xsi:type="dcterms:W3CDTF">2023-02-23T19:01:00Z</dcterms:modified>
</cp:coreProperties>
</file>